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ТУ </w:t>
      </w:r>
      <w:r w:rsidR="00284A69">
        <w:rPr>
          <w:rFonts w:ascii="Times New Roman" w:hAnsi="Times New Roman" w:cs="Times New Roman"/>
          <w:b/>
          <w:sz w:val="28"/>
          <w:szCs w:val="28"/>
        </w:rPr>
        <w:t>2435-028-82006400-2008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204"/>
        <w:gridCol w:w="3367"/>
      </w:tblGrid>
      <w:tr w:rsidR="00E66B52" w:rsidRPr="00BE4FAD" w:rsidTr="00BE4FAD">
        <w:trPr>
          <w:trHeight w:val="673"/>
        </w:trPr>
        <w:tc>
          <w:tcPr>
            <w:tcW w:w="6204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Норма по ТУ марка</w:t>
            </w:r>
            <w:proofErr w:type="gramStart"/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</w:t>
            </w:r>
            <w:proofErr w:type="gramEnd"/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Внешний вид и цвет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Прозрачная маслянистая жидкость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светло-желтого до светло-коричневого цвета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Плотность при 20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г/см3, в пределах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0,95-0,99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proofErr w:type="spell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 (2-этилгексил) </w:t>
            </w:r>
            <w:r w:rsidR="00BE4FA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фосфорной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, % не менее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E66B52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моно (2-этилгексил) </w:t>
            </w:r>
            <w:proofErr w:type="gramStart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фосфорной</w:t>
            </w:r>
            <w:proofErr w:type="gramEnd"/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, %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284A69"/>
    <w:rsid w:val="004E1AC0"/>
    <w:rsid w:val="005B08B0"/>
    <w:rsid w:val="00BE4FAD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AbashinDV</cp:lastModifiedBy>
  <cp:revision>5</cp:revision>
  <dcterms:created xsi:type="dcterms:W3CDTF">2011-11-11T02:19:00Z</dcterms:created>
  <dcterms:modified xsi:type="dcterms:W3CDTF">2011-11-11T02:46:00Z</dcterms:modified>
</cp:coreProperties>
</file>